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185"/>
        <w:gridCol w:w="2400"/>
      </w:tblGrid>
      <w:tr w:rsidR="00C75AEF">
        <w:trPr>
          <w:trHeight w:val="1200"/>
        </w:trPr>
        <w:tc>
          <w:tcPr>
            <w:tcW w:w="131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0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"Уранская СОШ"</w:t>
            </w:r>
          </w:p>
        </w:tc>
        <w:tc>
          <w:tcPr>
            <w:tcW w:w="24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№7»</w:t>
            </w:r>
          </w:p>
        </w:tc>
        <w:tc>
          <w:tcPr>
            <w:tcW w:w="24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"Гамалеевская СОШ №1"</w:t>
            </w:r>
          </w:p>
        </w:tc>
        <w:tc>
          <w:tcPr>
            <w:tcW w:w="24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№5»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"Матвеевская ООШ"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68,28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№10»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№11»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№1»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ООШ"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№7»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71,20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"Баклановская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"Троицкая СОШ 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72,90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"Федоровская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"Бурдыгинская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"Гамалеевская СОШ №2"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"2-Михайловская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"Войковская СОШ имени Олега Стуколова 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"Николаевская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76,72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№9»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78,98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"Толкаевская СОШ"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80,96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№117»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83,10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84,84</w:t>
            </w:r>
          </w:p>
        </w:tc>
      </w:tr>
      <w:tr w:rsidR="00C75AEF">
        <w:trPr>
          <w:trHeight w:val="300"/>
        </w:trPr>
        <w:tc>
          <w:tcPr>
            <w:tcW w:w="131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90,46</w:t>
            </w:r>
          </w:p>
        </w:tc>
      </w:tr>
    </w:tbl>
    <w:p w:rsidR="00452A69" w:rsidRDefault="00452A6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A69" w:rsidRDefault="00452A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И РЕКОМЕНДАЦИИ ПО РЕЗУЛЬТАТАМ СБОРА, ОБОБЩЕНИЯ И АНАЛИЗА ИНФОРМАЦИИ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7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10665"/>
      </w:tblGrid>
      <w:tr w:rsidR="00C75AEF">
        <w:trPr>
          <w:trHeight w:val="640"/>
        </w:trPr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10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tabs>
                <w:tab w:val="right" w:pos="622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 г.Сорочинска; МБОУ «СОШ №5» г.Сорочинска; МАОУ «СОШ №7» г.Сорочинска; МБОУ "Баклановская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"Родинская СОШ"; МБОУ "Троицкая СОШ "; МБОУ "Уранская СОШ"; МБОУ "Федоровская СОШ"; МБОУ "Романовская ООШ"; МБУДО «ЦДТТ»; МБУДО «ДЮСШ»; МАДОУ «Детский сад №1»; МБДОУ «Детский сад №5»; МАДОУ «Детский сад №7»; МБДОУ «Детский сад №8»; МБДОУ «Детский сад №11»;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№12»;</w:t>
            </w:r>
          </w:p>
        </w:tc>
      </w:tr>
      <w:tr w:rsidR="00C75AEF">
        <w:trPr>
          <w:trHeight w:val="640"/>
        </w:trPr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10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EF">
        <w:trPr>
          <w:trHeight w:val="700"/>
        </w:trPr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0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 г.Сорочинска; МАОУ «СОШ №7» г.Сорочинска; МБОУ "Баклановская СОШ"; МБОУ "Гамалеевская СОШ №1"; МБОУ "Матвеевская ООШ"; 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Родинская СОШ"; МБОУ "Уранская СОШ"; МБОУ "Романовская ООШ"; МАДОУ «Детский сад №7»; МБДОУ «Детский сад №8»; МБДОУ «Детский сад №12»;</w:t>
            </w:r>
          </w:p>
        </w:tc>
      </w:tr>
      <w:tr w:rsidR="00C75AEF">
        <w:trPr>
          <w:trHeight w:val="500"/>
        </w:trPr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10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EF">
        <w:trPr>
          <w:trHeight w:val="640"/>
        </w:trPr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10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</w:t>
      </w:r>
      <w:r>
        <w:rPr>
          <w:rFonts w:ascii="Times New Roman" w:eastAsia="Times New Roman" w:hAnsi="Times New Roman" w:cs="Times New Roman"/>
          <w:sz w:val="24"/>
          <w:szCs w:val="24"/>
        </w:rPr>
        <w:t>ти для инвалидов, а также условий доступности, позволяющих инвалидам получать услуги наравне с другими.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50"/>
        <w:gridCol w:w="13710"/>
      </w:tblGrid>
      <w:tr w:rsidR="00C75AEF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 г.Сорочинска; МАОУ «СОШ №7» г.Сорочинска; МБОУ "Баклановская СОШ"; МБОУ "Бурдыгинская СОШ"; МБОУ "Войковская СОШ имени Олега Стуколова "; МБОУ "Гамалеевская СОШ №1"; МБОУ "Матвеевс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ООШ"; МБОУ "Николаевская СОШ"; МБОУ "Родинская СОШ"; МБОУ "Троицкая СОШ "; МБОУ "Уранская СОШ"; МБОУ "Федоровская СОШ"; МБОУ "Романовская ООШ"; МБУДО «ЦДТ»; МБУДО «ЦДТТ»; МБУДО «ДЮСШ»; МБДОУ «Детский сад №5»; МАДОУ «Детский сад №7»;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№8»; МБДОУ «Детский сад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«СОШ №4» г.Сорочинска; МБОУ «СОШ №5» г.Сорочинска; МАОУ «СОШ №7» г.Сорочинска; МБОУ "2-Михайловская СОШ"; МБОУ "Баклановская СОШ"; МБОУ "Бурдыгинская СОШ"; МБОУ "Войковская СОШ имени Олега Стуколова "; МБОУ "Гамалеевская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№1"; МБОУ "Гамалеевская СОШ №2"; МБОУ "Матвеевская ООШ"; МБОУ "Николаевская СОШ"; МБОУ "Родинская СОШ"; МБОУ "Толкаевская СОШ"; МБОУ "Троицкая СОШ "; МБОУ "Уранская СОШ"; МБОУ "Федоровская СОШ"; МБОУ "Романовская ООШ"; МБУДО «ЦДТ»; МБУДО «ЦДТТ»; 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ЮСШ»; МАДОУ «Детский сад №1»; МАДОУ «Детский сад №7»; МБДОУ «Детский сад №8»; МБДОУ «Детский сад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№5» г.Сорочинска; МАОУ «СОШ №7» г.Сорочинска; МБОУ "Баклановская СОШ"; МБОУ "Бурдыгинская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"Ро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динская СОШ"; МБОУ "Толкаевская СОШ"; МБОУ "Троицкая СОШ "; МБОУ "Уранская СОШ"; МБОУ "Федоровская СОШ"; МБОУ "Романовская ООШ"; МБУДО «ЦДТ»; МБУДО «ЦДТТ»; МБУДО «ДЮСШ»; МАДОУ «Детский сад №7»; МБДОУ «Детский сад №8»; МБДОУ «Детский сад №9»;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№10»; МБДОУ «Детский сад №12»;</w:t>
            </w:r>
          </w:p>
        </w:tc>
      </w:tr>
      <w:tr w:rsidR="00C75AEF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г.Сорочинска; МАОУ «СОШ №3» г.Сорочинска; МБОУ «СОШ №4» г.Сорочинска; МБОУ «СОШ №5» г.Сорочинска; МАОУ «СОШ №7» г.Сорочинска; МБОУ «СОШ №117» г.Сорочинска; 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2-Михайловская СОШ"; МБОУ "Баклановская СОШ"; МБОУ "Бурдыгинская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"Родинская СОШ"; МБОУ "Толкае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вская СОШ"; МБОУ "Троицкая СОШ "; МБОУ "Уранская СОШ"; МБОУ "Федоровская СОШ"; МБОУ "Романовская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ООШ"; МБУДО «ЦДТ»; МБУДО «ЦДТТ»; МБУДО «ДЮСШ»; МАДОУ «Детский сад №1»; МБДОУ «Детский сад №5»; МАДОУ «Детский сад №7»; МБДОУ «Детский сад №8»;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«СОШ №5» г.Сорочинска; МАОУ «СОШ №7» г.Сорочинска; МБОУ "Б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аклановская СОШ"; МБОУ "Бурдыгинская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"Родинская СОШ"; МБОУ "Толкаевская СОШ"; МБОУ "Троицкая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 "; МБОУ "Уранская СОШ"; МБОУ "Федоровская СОШ"; МБОУ "Романовская ООШ"; МБУДО «ЦДТ»; МБУДО «ЦДТТ»; МБУДО «ДЮСШ»; МАДОУ «Детский сад №7»; МБДОУ «Детский сад №8»; МБДОУ «Детский сад №9»; МБДОУ «Детский сад №10»; МБДОУ «Детский сад №11»;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№12»;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6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20"/>
        <w:gridCol w:w="13725"/>
      </w:tblGrid>
      <w:tr w:rsidR="00C75AEF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«СОШ №4» г.Сорочинска; МБОУ «СОШ №5» г.Сорочинска; МАОУ «СОШ №7» г.Сорочинска; МБОУ "2-Михайловская СОШ"; МБОУ "Баклановская СОШ"; МБОУ "Бурдыгинская СОШ"; МБОУ "Войковская СОШ имени Олега Стуколова "; МБОУ "Гамалеевская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№1"; МБОУ "Гамалеевская СОШ №2"; МБОУ "Матвеевская ООШ"; МБОУ "Николаевская СОШ"; МБОУ "Родинская СОШ"; МБОУ "Толкаевская СОШ"; МБОУ "Троицкая СОШ "; МБОУ "Уранская СОШ"; МБОУ "Федоровская СОШ"; МБОУ "Романовская ООШ"; МБУДО «ЦДТ»; МБУДО «ЦДТТ»; 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ЮСШ»; МАДОУ «Детский сад №1»; МБДОУ «Детский сад №5»; МАДОУ «Детский сад №7»; МБДОУ «Детский сад №8»;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«СОШ №4» г.Сорочинска; МБОУ «СОШ №5» г.Сорочинска; МАОУ «СОШ №7» г.Сорочинска; МБОУ «СОШ №117»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.Сорочинска; МБОУ "2-Михайловская СОШ"; МБОУ "Баклановская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"Родинская СОШ"; МБОУ "Троицкая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"; МБОУ "Уранская СОШ"; МБОУ "Федоровская СОШ"; МБОУ "Романовская ООШ"; МБУДО «ЦДТ»; МБУДО «ЦДТТ»; МБУДО «ДЮСШ»; МАДОУ «Детский сад №1»; МБДОУ «Детский сад №5»; МАДОУ «Детский сад №7»; МБДОУ «Детский сад №8»; МБДОУ «Детский сад №9»; МБДОУ «Детский сад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МБДОУ «Детский сад №11»; МБДОУ «Детский сад №12»;</w:t>
            </w:r>
          </w:p>
        </w:tc>
      </w:tr>
      <w:tr w:rsidR="00C75AEF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слуху (слуху и зрению) услуг сурдопереводчика (тифлосурдопереводчика)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№1» г.Сорочинска; МАОУ «СОШ №3» г.Сорочинска; МБОУ «СОШ №4» г.Сорочинска; МБОУ 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№5» г.Сорочинска; МАОУ «СОШ №7» г.Сорочинска; МБОУ «СОШ №117» г.Сорочинска; МБОУ "2-Михайловская СОШ"; МБОУ "Баклановская СОШ"; МБОУ "Бурдыгинская СОШ"; МБОУ "Войковская СОШ имени Олега Стуколова "; МБОУ "Гамалеевская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№1"; МБОУ "Гамалеевская СОШ №2";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"Матвеевская ООШ"; МБОУ "Николаевская СОШ"; МБОУ "Родинская СОШ"; МБОУ "Толкаевская СОШ"; МБОУ "Троицкая СОШ "; МБОУ "Уранская СОШ"; МБОУ "Федоровская СОШ"; МБОУ "Романовская ООШ"; МБУДО «ЦДТ»; МБУДО «ЦДТТ»; МБУДО «ДЮСШ»; МАДОУ «Детский сад №1»;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№5»; МАДОУ «Детский сад №7»; МБДОУ «Детский сад №8»; МБДОУ «Детский сад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EF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«СОШ №4» г.Сорочинска; МБОУ «СОШ №5» г.Сорочинска; МАОУ «СОШ №7» г.Сорочинс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ка; МБОУ "2-Михайловская СОШ"; МБОУ "Баклановская СОШ"; МБОУ "Бурдыгинская СОШ"; МБОУ "Войковская СОШ имени Олега Стуколова "; МБОУ "Гамалеевская СОШ №1"; МБОУ "Гамалеевская СОШ №2"; МБОУ "Матвеевская ООШ"; МБОУ "Николаевская СОШ"; МБОУ "Родинская СОШ";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"Толкаевская СОШ"; МБОУ "Троицкая СОШ "; МБОУ "Уранская СОШ"; МБОУ "Федоровская СОШ"; МБОУ "Романовская ООШ"; МБУДО «ЦДТТ»; МБУДО «ДЮСШ»; МБДОУ «Детский сад №5»; МАДОУ «Детский сад №7»; МБДОУ «Детский сад №8»; МБДОУ «Детский сад №9»;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№10»; МБДОУ «Детский сад №11»; МБДОУ «Детский сад №12»;</w:t>
            </w:r>
          </w:p>
        </w:tc>
      </w:tr>
      <w:tr w:rsidR="00C75AEF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1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 г.Сорочинска; МАОУ «СОШ №7» г.Сорочинска; МБОУ "Гамалеевская СОШ №1"; МБОУ "Матвеевская ООШ"; 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Родинская СОШ"; МБОУ "Троицкая СОШ "; МБОУ "Уранская СОШ"; МБОУ "Романовская ООШ"; МБУДО «ЦДТТ»; МБУДО «ДЮСШ»; МБДОУ «Детский сад №5»; МАДОУ «Детский сад №7»; МБДОУ «Детский сад №8»; МБДОУ «Детский сад №10»; МБДОУ «Детский сад №12»;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ФЗ</w:t>
      </w:r>
      <w:r>
        <w:rPr>
          <w:rFonts w:ascii="Times New Roman" w:eastAsia="Times New Roman" w:hAnsi="Times New Roman" w:cs="Times New Roman"/>
          <w:sz w:val="24"/>
          <w:szCs w:val="24"/>
        </w:rPr>
        <w:t>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ановлением Правительства Российской Федерации от 10.07.2013 № 582 (далее – ПП РФ №582).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</w:t>
      </w:r>
      <w:r>
        <w:rPr>
          <w:rFonts w:ascii="Times New Roman" w:eastAsia="Times New Roman" w:hAnsi="Times New Roman" w:cs="Times New Roman"/>
          <w:sz w:val="24"/>
          <w:szCs w:val="24"/>
        </w:rPr>
        <w:t>ражены в приказе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</w:t>
      </w:r>
      <w:r>
        <w:rPr>
          <w:rFonts w:ascii="Times New Roman" w:eastAsia="Times New Roman" w:hAnsi="Times New Roman" w:cs="Times New Roman"/>
          <w:sz w:val="24"/>
          <w:szCs w:val="24"/>
        </w:rPr>
        <w:t>ом России 04.08.2014, регистрационный № 33423 (далее – приказ РОН №785).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деятельность - 46.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Анализируемые единицы информации: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дате создания образовательной организации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учредителе, учредителях образовательной организации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месте нахождения образовательной организации и ее филиалов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режиме, графике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контактных телефонах и об адресах электронной почты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</w:t>
      </w:r>
      <w:r>
        <w:rPr>
          <w:rFonts w:ascii="Times New Roman" w:eastAsia="Times New Roman" w:hAnsi="Times New Roman" w:cs="Times New Roman"/>
          <w:sz w:val="24"/>
          <w:szCs w:val="24"/>
        </w:rPr>
        <w:t>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положениях о структурных подразделениях (об органах управления) с приложением копий указанных положений (при их наличии))*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Устав образовательной организации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Лицензии на осуществление образовательной деятельности (с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>иями)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Свидетельства о государственной аккредитации (с приложениями)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организации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учающимися и (или) родителями (законными представителями) несовершеннолетних обучающихся.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Правила внутреннего распорядка обучающихся, правила внутреннего трудового распорядка и коллективный договор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Отчет о результатах самообследования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Предписания орга</w:t>
      </w:r>
      <w:r>
        <w:rPr>
          <w:rFonts w:ascii="Times New Roman" w:eastAsia="Times New Roman" w:hAnsi="Times New Roman" w:cs="Times New Roman"/>
          <w:sz w:val="24"/>
          <w:szCs w:val="24"/>
        </w:rPr>
        <w:t>нов, осуществляющих государственный контроль (надзор) в сфере образования, отчеты об исполнении таких предписаний (при наличии)*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уровнях образования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формах обучения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нормативных с</w:t>
      </w:r>
      <w:r>
        <w:rPr>
          <w:rFonts w:ascii="Times New Roman" w:eastAsia="Times New Roman" w:hAnsi="Times New Roman" w:cs="Times New Roman"/>
          <w:sz w:val="24"/>
          <w:szCs w:val="24"/>
        </w:rPr>
        <w:t>роках обучения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сроке действия государственной аккредитации образовательных программ (при наличии государственной аккредитации)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описании образовательных программ с приложением их копий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учебных планах реализуемых образовательных программ с приложением их копий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ормация о календарных учебных графиках с приложением их копий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методических и иных документах, разработанных образовательной организацией для обеспечения образовательного процесса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тельных программ электронного обучения и дистанционных образовательных технологий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Федерации, местных бюджетов и по договорам об образовании за счет средств физических и (или) юридических лиц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языках, на которых осуществляется образование (обучение)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Образовательные организации, реализующие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азовательные программы, дополнительно указывают наименование образовательной программы*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Уровень образования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федеральных государственных образовательных стандартах и об образовательных стандартах с приложением их копий (при на</w:t>
      </w:r>
      <w:r>
        <w:rPr>
          <w:rFonts w:ascii="Times New Roman" w:eastAsia="Times New Roman" w:hAnsi="Times New Roman" w:cs="Times New Roman"/>
          <w:sz w:val="24"/>
          <w:szCs w:val="24"/>
        </w:rPr>
        <w:t>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заместителей; контактные телефоны; адреса электронной почты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</w:t>
      </w:r>
      <w:r>
        <w:rPr>
          <w:rFonts w:ascii="Times New Roman" w:eastAsia="Times New Roman" w:hAnsi="Times New Roman" w:cs="Times New Roman"/>
          <w:sz w:val="24"/>
          <w:szCs w:val="24"/>
        </w:rPr>
        <w:t>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</w:t>
      </w:r>
      <w:r>
        <w:rPr>
          <w:rFonts w:ascii="Times New Roman" w:eastAsia="Times New Roman" w:hAnsi="Times New Roman" w:cs="Times New Roman"/>
          <w:sz w:val="24"/>
          <w:szCs w:val="24"/>
        </w:rPr>
        <w:t>аличии); общий стаж работы; стаж работы по специальности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обеспечении доступа в здания образовательной организации инвалидов и лиц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условиях питания обучающихся, в том числе инвалидов и лиц с ограниченными 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об условиях охраны здоровья обучающихся, в том числе инвалидов и лиц с ограниченными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элек</w:t>
      </w:r>
      <w:r>
        <w:rPr>
          <w:rFonts w:ascii="Times New Roman" w:eastAsia="Times New Roman" w:hAnsi="Times New Roman" w:cs="Times New Roman"/>
          <w:sz w:val="24"/>
          <w:szCs w:val="24"/>
        </w:rPr>
        <w:t>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специальных технических средств обучения к</w:t>
      </w:r>
      <w:r>
        <w:rPr>
          <w:rFonts w:ascii="Times New Roman" w:eastAsia="Times New Roman" w:hAnsi="Times New Roman" w:cs="Times New Roman"/>
          <w:sz w:val="24"/>
          <w:szCs w:val="24"/>
        </w:rPr>
        <w:t>оллективного и индивидуального пользования для инвалидов и лиц с ограниченными 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условиях предоставления обучающимся стипендий, мер социальной поддержки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общежития, интерната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 наличии и порядке оказания платных образовательных услуг (при наличии)*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</w:t>
      </w:r>
      <w:r>
        <w:rPr>
          <w:rFonts w:ascii="Times New Roman" w:eastAsia="Times New Roman" w:hAnsi="Times New Roman" w:cs="Times New Roman"/>
          <w:sz w:val="24"/>
          <w:szCs w:val="24"/>
        </w:rPr>
        <w:t>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поступлении финансовых и материальных средств и об их расходовании по итогам финансового года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</w:t>
      </w:r>
      <w:r>
        <w:rPr>
          <w:rFonts w:ascii="Times New Roman" w:eastAsia="Times New Roman" w:hAnsi="Times New Roman" w:cs="Times New Roman"/>
          <w:sz w:val="24"/>
          <w:szCs w:val="24"/>
        </w:rPr>
        <w:t>ции, местных бюджетов, по договорам об образовании за счет средств физических и (или) юридических лиц)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на сайтах которых отсутствует (не соответствует требованиям) обязательная к размещению информация: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355"/>
        <w:gridCol w:w="1095"/>
      </w:tblGrid>
      <w:tr w:rsidR="00C75AEF">
        <w:trPr>
          <w:trHeight w:val="4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4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4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3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3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9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4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3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4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4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AEF">
        <w:trPr>
          <w:trHeight w:val="6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1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1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2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3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6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3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1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3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AEF">
        <w:trPr>
          <w:trHeight w:val="1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3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5AEF">
        <w:trPr>
          <w:trHeight w:val="1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AEF">
        <w:trPr>
          <w:trHeight w:val="6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AEF">
        <w:trPr>
          <w:trHeight w:val="3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языках, на которых осуществляется образование (обучение)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2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5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9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стителей; контактные телефоны; адреса электронной почты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9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работы; стаж работы по специальности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4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1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EF">
        <w:trPr>
          <w:trHeight w:val="2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EF">
        <w:trPr>
          <w:trHeight w:val="4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EF">
        <w:trPr>
          <w:trHeight w:val="3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EF">
        <w:trPr>
          <w:trHeight w:val="64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5AEF">
        <w:trPr>
          <w:trHeight w:val="12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ддержки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EF">
        <w:trPr>
          <w:trHeight w:val="9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5AEF">
        <w:trPr>
          <w:trHeight w:val="28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6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5AEF">
        <w:trPr>
          <w:trHeight w:val="16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EF">
        <w:trPr>
          <w:trHeight w:val="800"/>
        </w:trPr>
        <w:tc>
          <w:tcPr>
            <w:tcW w:w="1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анализ сайтов организаций, осуществляющих образовательную деятельность,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ритерий оценки качества  «Открытость и доступность информации об организации социальной сферы».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рмацию на сайтах организаций, осуществляющих образовательную деятельность: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6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595"/>
        <w:gridCol w:w="10035"/>
      </w:tblGrid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организации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58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контактных телефонах и об адресах электронной почты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данному пункту размещена полностью на сайтах всех организаций;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№10»;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 МБУДО «ДЮСШ»; МАДОУ «Детский сад №1»; МБДОУ «Детский сад №5»; МАДОУ «Детский сад №7»; МБДОУ «Детский сад №8»; МБДОУ «Детский сад №9»; МБДОУ «Детский сад №10»; МБДОУ «Детский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1»; МБДОУ «Детский сад №12»;</w:t>
            </w:r>
          </w:p>
        </w:tc>
      </w:tr>
      <w:tr w:rsidR="00C75AEF">
        <w:trPr>
          <w:trHeight w:val="142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276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</w:t>
            </w:r>
          </w:p>
        </w:tc>
      </w:tr>
      <w:tr w:rsidR="00C75AEF">
        <w:trPr>
          <w:trHeight w:val="1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змещена полностью на сайтах всех организаций;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№12»;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уровнях образования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 МБУДО «ДЮСШ»; МАДОУ «Детский сад №1»; МБДОУ «Детский сад №5»; МАДОУ «Детский сад №7»; МБДОУ «Детский сад №8»;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(по каждой дисциплине в составе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их копий (при наличии)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"Бурдыгинская СОШ"; МБУДО «ЦДТТ»; МБУДО «ДЮСШ»; МАДОУ «Детский сад №1»; МБДОУ «Детский сад №5»; МАДОУ «Детский сад №7»; МБДОУ «Детский сад №8»; МБДОУ «Детский сад №9»; МБДОУ «Детский сад №10»;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№11»; МБДОУ «Детский сад №12»;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"Гамалеевская СОШ №1"; МБОУ "Гамалеевская СОШ №2"; МБОУ "Николаевская СОШ"; МБОУ "Уранская СОШ"; МБУДО «ЦДТТ»; МБУДО «ДЮС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Ш»; МБДОУ «Детский сад №12»;</w:t>
            </w:r>
          </w:p>
        </w:tc>
      </w:tr>
      <w:tr w:rsidR="00C75AEF">
        <w:trPr>
          <w:trHeight w:val="7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МБУДО «ДЮСШ»; МАДОУ «Детский сад №1»; МБДОУ «Детский сад №5»; МАДОУ «Детский сад №7»; МБДОУ «Детский сад №8»;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№9»; МБДОУ «Детский сад №10»; МБДОУ «Детский сад №11»; МБДОУ «Детский сад №12»;</w:t>
            </w:r>
          </w:p>
        </w:tc>
      </w:tr>
      <w:tr w:rsidR="00C75AEF">
        <w:trPr>
          <w:trHeight w:val="118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96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6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</w:t>
            </w:r>
          </w:p>
        </w:tc>
      </w:tr>
      <w:tr w:rsidR="00C75AEF">
        <w:trPr>
          <w:trHeight w:val="96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96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пункту размещена полностью на сайтах всех организаций;</w:t>
            </w:r>
          </w:p>
        </w:tc>
      </w:tr>
      <w:tr w:rsidR="00C75AEF">
        <w:trPr>
          <w:trHeight w:val="142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г.Сорочинска; МБОУ «СОШ №4» г.Сорочинска; МАОУ «СОШ №7» г.Сорочинска; МБОУ "Баклановская СОШ"; МБОУ "Бурдыгинская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МБОУ "Гамалеевская СОШ №1"; МБОУ "Родинская СОШ"; МБОУ "Федоровская СОШ"; МБУДО «ЦДТ»; МБУДО «ЦДТТ»; МБУДО «ДЮСШ»; МАДОУ «Детский сад №7»; МБДОУ «Детский сад №8»; МБДОУ «Детский сад №12»;</w:t>
            </w:r>
          </w:p>
        </w:tc>
      </w:tr>
      <w:tr w:rsidR="00C75AEF">
        <w:trPr>
          <w:trHeight w:val="72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 с ограниченными возможностями здоровья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«ЦДТ»; МБУДО «ЦДТТ»; МБДОУ «Детский сад №12»;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№12»;</w:t>
            </w:r>
          </w:p>
        </w:tc>
      </w:tr>
      <w:tr w:rsidR="00C75AEF">
        <w:trPr>
          <w:trHeight w:val="76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г.Сорочинска; МБУДО «ДЮСШ»;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№10»;</w:t>
            </w:r>
          </w:p>
        </w:tc>
      </w:tr>
      <w:tr w:rsidR="00C75AEF">
        <w:trPr>
          <w:trHeight w:val="14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«ЦДТТ»; МБУДО «ДЮСШ»; МБДОУ «Детский сад №12»;</w:t>
            </w:r>
          </w:p>
        </w:tc>
      </w:tr>
      <w:tr w:rsidR="00C75AEF">
        <w:trPr>
          <w:trHeight w:val="5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г.Сорочинска; МБОУ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№4» г.Сорочинска; МАОУ «СОШ №7» г.Сорочинска; МБОУ «СОШ №117» г.Сорочинска; МБОУ "Баклановская СОШ"; МБОУ "Бурдыгинская СОШ"; МБОУ "Войковская СОШ имени Олега Стуколова "; МБОУ "Гамалеевская СОШ №1"; МБОУ "Гамалеевская СОШ №2"; МБОУ "Матвеевская ООШ";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"Николаевская СОШ"; МБОУ "Родинская СОШ"; МБОУ "Толкаевская СОШ"; МБОУ "Троицкая СОШ "; МБОУ "Уранская СОШ"; МБОУ "Федоровская СОШ"; МБОУ "Романовская ООШ"; МБУДО «ЦДТ»; МБУДО «ЦДТТ»; МБУДО «ДЮСШ»; МАДОУ «Детский сад №1»; МБДОУ «Детский сад №10»;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№12»;</w:t>
            </w:r>
          </w:p>
        </w:tc>
      </w:tr>
      <w:tr w:rsidR="00C75AEF">
        <w:trPr>
          <w:trHeight w:val="5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г.Сорочинска; МБОУ "Бурдыгинская СОШ";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г.Сорочинска; МАОУ «СОШ №3» г.Сорочинска; МБОУ «СОШ №4» г.Сорочинска; МАОУ «СОШ №7» г.Сорочинска; МБОУ «СОШ №117» г.Сорочинска; МБОУ "2-Михайловская СОШ"; МБОУ "Бурдыгинская СОШ"; МБОУ "Матвеевская ООШ"; 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Родинская СОШ"; МБОУ "Федоровская СОШ"; МБУДО «ЦДТ»; МБУДО «ЦДТТ»; МБУДО «ДЮСШ»; МАДОУ «Детский сад №1»; МБДОУ «Детский сад №5»; МАДОУ «Детский сад №7»; МБДОУ «Детский сад №8»; МБДОУ «Детский сад №9»; МБДОУ «Детский сад №10»; МБДОУ «Детский сад №11»;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№12»;</w:t>
            </w:r>
          </w:p>
        </w:tc>
      </w:tr>
      <w:tr w:rsidR="00C75AEF">
        <w:trPr>
          <w:trHeight w:val="48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120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"Федоровская СОШ"; МБОУ "Романовская ООШ"; МБУДО «ЦДТ»; МБУДО «ЦДТТ»; МБУДО «ДЮСШ»; МАДОУ «Детский сад №1»; МБДОУ «Детский сад №5»; МАДОУ «Детский сад №7»; МБДОУ «Детский сад №8»; МБДОУ «Детский сад №9»;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№10»; МБДОУ «Детский сад №11»; МБДОУ «Детский сад №12»;</w:t>
            </w:r>
          </w:p>
        </w:tc>
      </w:tr>
      <w:tr w:rsidR="00C75AEF">
        <w:trPr>
          <w:trHeight w:val="52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75AEF">
        <w:trPr>
          <w:trHeight w:val="1440"/>
        </w:trPr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0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«ЦДТ»; МАДОУ «Детский сад №7»; МБДОУ «Детский сад №11»; МБДОУ «Детский сад №12»;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Отмечен высокий уровень доступности взаимодействия с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учателями образовательных услуг по телефону, электронной почте.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 размещение: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6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10785"/>
      </w:tblGrid>
      <w:tr w:rsidR="00C75AEF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10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- 16: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месте нахождения образовательной организации и ее филиалов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режиме, графике работы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контактных телефонах и об адресах электронной почты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с</w:t>
      </w:r>
      <w:r>
        <w:rPr>
          <w:rFonts w:ascii="Times New Roman" w:eastAsia="Times New Roman" w:hAnsi="Times New Roman" w:cs="Times New Roman"/>
          <w:sz w:val="24"/>
          <w:szCs w:val="24"/>
        </w:rPr>
        <w:t>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>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Лицензии на осуществление образовательной деятельности (с приложениями)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 о государственной аккредитации (с приложениями)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организацией и обучающимися и (или) родителями (законными представителями) несовершеннолетних обучающихся.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Правила внутреннего распорядка обучающихся, правила внутреннего трудового распорядка и коллективный договор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Документ о пор</w:t>
      </w:r>
      <w:r>
        <w:rPr>
          <w:rFonts w:ascii="Times New Roman" w:eastAsia="Times New Roman" w:hAnsi="Times New Roman" w:cs="Times New Roman"/>
          <w:sz w:val="24"/>
          <w:szCs w:val="24"/>
        </w:rPr>
        <w:t>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об учебных планах реализ</w:t>
      </w:r>
      <w:r>
        <w:rPr>
          <w:rFonts w:ascii="Times New Roman" w:eastAsia="Times New Roman" w:hAnsi="Times New Roman" w:cs="Times New Roman"/>
          <w:sz w:val="24"/>
          <w:szCs w:val="24"/>
        </w:rPr>
        <w:t>уемых образовательных программ с приложением их копий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руководителе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</w:t>
      </w:r>
      <w:r>
        <w:rPr>
          <w:rFonts w:ascii="Times New Roman" w:eastAsia="Times New Roman" w:hAnsi="Times New Roman" w:cs="Times New Roman"/>
          <w:sz w:val="24"/>
          <w:szCs w:val="24"/>
        </w:rPr>
        <w:t>ектронной почты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условиях питания обучающихся, в том числе инвалидов и лиц с ограниченными возможностями здоровья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условиях предоставления обучающимся стипендий, мер социальной поддержки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 Информация о наличии и порядке оказания платных образовательных услуг (при наличии)*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</w:t>
      </w:r>
      <w:r>
        <w:rPr>
          <w:rFonts w:ascii="Times New Roman" w:eastAsia="Times New Roman" w:hAnsi="Times New Roman" w:cs="Times New Roman"/>
          <w:sz w:val="24"/>
          <w:szCs w:val="24"/>
        </w:rPr>
        <w:t>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Размещенная на стендах информация размещен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соответствии с утвержденным перечнем.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C75AE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56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60"/>
        <w:gridCol w:w="1815"/>
      </w:tblGrid>
      <w:tr w:rsidR="00C75AEF">
        <w:trPr>
          <w:trHeight w:val="4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3379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3364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3364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3351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Уорг.усл - число получателей услуг, удовлетворенных организационными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5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60"/>
        <w:gridCol w:w="1800"/>
      </w:tblGrid>
      <w:tr w:rsidR="00C75AEF">
        <w:trPr>
          <w:trHeight w:val="122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87,22%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87,53%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56,16%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86,70%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86,70%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86,37%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84,77%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83,92%</w:t>
            </w:r>
          </w:p>
        </w:tc>
      </w:tr>
      <w:tr w:rsidR="00C75AEF">
        <w:trPr>
          <w:trHeight w:val="640"/>
        </w:trPr>
        <w:tc>
          <w:tcPr>
            <w:tcW w:w="13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8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63,94%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5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60"/>
        <w:gridCol w:w="1800"/>
      </w:tblGrid>
      <w:tr w:rsidR="00C75AEF" w:rsidTr="00452A69">
        <w:trPr>
          <w:trHeight w:val="113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56,16%</w:t>
            </w:r>
          </w:p>
        </w:tc>
      </w:tr>
      <w:tr w:rsidR="00C75AEF" w:rsidTr="00452A69">
        <w:trPr>
          <w:trHeight w:val="185"/>
        </w:trPr>
        <w:tc>
          <w:tcPr>
            <w:tcW w:w="1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 w:rsidP="00452A6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AEF" w:rsidRDefault="008A1E01" w:rsidP="00452A6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63,94%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75AEF" w:rsidRDefault="008A1E0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РЕКОМЕНДУЕТСЯ: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педагогических коллективах;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недостатков и повышению качества условий оказания услуг с учетом полученных результатов, в том числе: </w:t>
      </w:r>
    </w:p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56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12945"/>
      </w:tblGrid>
      <w:tr w:rsidR="00C75AEF">
        <w:trPr>
          <w:trHeight w:val="10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1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5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12930"/>
      </w:tblGrid>
      <w:tr w:rsidR="00C75AEF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12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доступность питьевой воды;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56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12960"/>
      </w:tblGrid>
      <w:tr w:rsidR="00C75AEF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5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12960"/>
      </w:tblGrid>
      <w:tr w:rsidR="00C75AEF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1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5AEF" w:rsidRDefault="008A1E0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помощь, оказываемая работниками организации, прошедшими необходимое обучение (инстр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уктирование), по сопровождению инвалидов в помещении организации;</w:t>
            </w:r>
          </w:p>
        </w:tc>
      </w:tr>
    </w:tbl>
    <w:p w:rsidR="00C75AEF" w:rsidRDefault="00C75AE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75AEF" w:rsidRDefault="008A1E0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sectPr w:rsidR="00C75AEF" w:rsidSect="00452A69">
      <w:headerReference w:type="default" r:id="rId6"/>
      <w:footerReference w:type="default" r:id="rId7"/>
      <w:pgSz w:w="16840" w:h="11907" w:orient="landscape" w:code="9"/>
      <w:pgMar w:top="567" w:right="567" w:bottom="567" w:left="70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01" w:rsidRDefault="008A1E01" w:rsidP="00C75AEF">
      <w:pPr>
        <w:spacing w:line="240" w:lineRule="auto"/>
      </w:pPr>
      <w:r>
        <w:separator/>
      </w:r>
    </w:p>
  </w:endnote>
  <w:endnote w:type="continuationSeparator" w:id="1">
    <w:p w:rsidR="008A1E01" w:rsidRDefault="008A1E01" w:rsidP="00C7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EF" w:rsidRDefault="00C75AE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01" w:rsidRDefault="008A1E01" w:rsidP="00C75AEF">
      <w:pPr>
        <w:spacing w:line="240" w:lineRule="auto"/>
      </w:pPr>
      <w:r>
        <w:separator/>
      </w:r>
    </w:p>
  </w:footnote>
  <w:footnote w:type="continuationSeparator" w:id="1">
    <w:p w:rsidR="008A1E01" w:rsidRDefault="008A1E01" w:rsidP="00C75A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EF" w:rsidRDefault="00C75AE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EF"/>
    <w:rsid w:val="00452A69"/>
    <w:rsid w:val="008A1E01"/>
    <w:rsid w:val="00C7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75A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75A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75A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75A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75A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75A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5AEF"/>
  </w:style>
  <w:style w:type="table" w:customStyle="1" w:styleId="TableNormal">
    <w:name w:val="Table Normal"/>
    <w:rsid w:val="00C75A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5A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75A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75A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7735</Words>
  <Characters>44090</Characters>
  <Application>Microsoft Office Word</Application>
  <DocSecurity>0</DocSecurity>
  <Lines>367</Lines>
  <Paragraphs>103</Paragraphs>
  <ScaleCrop>false</ScaleCrop>
  <Company/>
  <LinksUpToDate>false</LinksUpToDate>
  <CharactersWithSpaces>51722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2019-07-16T18:15:00Z</dcterms:created>
  <dcterms:modified xsi:type="dcterms:W3CDTF">2019-07-16T18:15:00Z</dcterms:modified>
</cp:coreProperties>
</file>